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/>
          <w:i w:val="false"/>
          <w:i w:val="false"/>
          <w:sz w:val="28"/>
          <w:szCs w:val="28"/>
        </w:rPr>
      </w:pPr>
      <w:bookmarkStart w:id="0" w:name="_GoBack"/>
      <w:bookmarkEnd w:id="0"/>
      <w:r>
        <w:rPr>
          <w:rFonts w:ascii="Calibri" w:hAnsi="Calibri"/>
          <w:i w:val="false"/>
          <w:sz w:val="28"/>
          <w:szCs w:val="28"/>
        </w:rPr>
        <w:t>Light and Life Class (December 9, 2018)</w:t>
      </w:r>
    </w:p>
    <w:p>
      <w:pPr>
        <w:pStyle w:val="Title"/>
        <w:rPr>
          <w:rFonts w:ascii="Calibri" w:hAnsi="Calibri"/>
          <w:i w:val="false"/>
          <w:i w:val="false"/>
          <w:sz w:val="28"/>
          <w:szCs w:val="28"/>
        </w:rPr>
      </w:pPr>
      <w:r>
        <w:rPr>
          <w:rFonts w:ascii="Calibri" w:hAnsi="Calibri"/>
          <w:i w:val="false"/>
          <w:sz w:val="28"/>
          <w:szCs w:val="28"/>
        </w:rPr>
        <w:t>“</w:t>
      </w:r>
      <w:r>
        <w:rPr>
          <w:rFonts w:ascii="Calibri" w:hAnsi="Calibri"/>
          <w:i w:val="false"/>
          <w:sz w:val="28"/>
          <w:szCs w:val="28"/>
        </w:rPr>
        <w:t>To Know Me is to Love Me: The Omniscience of God”</w:t>
      </w:r>
    </w:p>
    <w:p>
      <w:pPr>
        <w:pStyle w:val="Title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</w:r>
    </w:p>
    <w:p>
      <w:pPr>
        <w:pStyle w:val="Title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</w:r>
    </w:p>
    <w:p>
      <w:pPr>
        <w:pStyle w:val="Title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  <w:t>“</w:t>
      </w:r>
      <w:r>
        <w:rPr>
          <w:rFonts w:ascii="Calibri" w:hAnsi="Calibri"/>
          <w:b w:val="false"/>
          <w:i w:val="false"/>
          <w:sz w:val="22"/>
          <w:szCs w:val="22"/>
        </w:rPr>
        <w:t xml:space="preserve">What did the president know, and when did he know it?” </w:t>
      </w:r>
    </w:p>
    <w:p>
      <w:pPr>
        <w:pStyle w:val="Title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  <w:t>(Sen Howard Baker, R-TN, during the Senate Watergate hearings of 1973-1974)</w:t>
      </w:r>
    </w:p>
    <w:p>
      <w:pPr>
        <w:pStyle w:val="Title"/>
        <w:jc w:val="both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</w:r>
    </w:p>
    <w:p>
      <w:pPr>
        <w:pStyle w:val="Title"/>
        <w:jc w:val="both"/>
        <w:rPr>
          <w:rFonts w:ascii="Calibri" w:hAnsi="Calibri"/>
          <w:b w:val="false"/>
          <w:b w:val="false"/>
          <w:i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  <w:t>A. Definition: God’s omniscience means that in a single act of knowing: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 the Lord know exhaustively all things past, present, and future; and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2. the Lord knows exhaustively all things both actual and possible.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B. There are two ways in which the Bibles teaches that God “knows.”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 God “knows” in the sense of personal relationship with his people (e.g., John 10:14; 2 Timothy 2:19; etc.).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2. God “knows” in the sense of having cognitive understanding (e.g., passages cited below in C).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C. God knows “everything” (Job 37:16; John 16:30; 21:17; 1 John 3:20; etc.).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 including his own plans for us (Jeremiah 29:11)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2. including the secret thoughts of our hearts (Mark 2:8)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3. including our personal situations (Revelation 2:2, 9, 13, 19; 3:1, 8, 15)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 xml:space="preserve">4. including all our needs, </w:t>
      </w:r>
      <w:r>
        <w:rPr>
          <w:u w:val="single"/>
        </w:rPr>
        <w:t>before</w:t>
      </w:r>
      <w:r>
        <w:rPr/>
        <w:t xml:space="preserve"> we pray and set them before the Lord (Matthew 6:8) 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D. God’s knows the future exhaustively.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 It is God’s exhaustive knowledge of the future that sets him apart from the false gods (Isaiah 44:6-8).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2. Here are just two of the remarkable biblical examples of God’s exhaustive knowledge of the future.</w:t>
      </w:r>
    </w:p>
    <w:p>
      <w:pPr>
        <w:pStyle w:val="Normal"/>
        <w:spacing w:lineRule="auto" w:line="240" w:before="0" w:after="0"/>
        <w:ind w:left="1440" w:hanging="0"/>
        <w:rPr/>
      </w:pPr>
      <w:r>
        <w:rPr/>
        <w:t>a. Isaiah 44:28 and 45:1, which verses named King Cyrus of Persia by name and prophesied what he would do for the Jews at least 120 years before Cyrus was even born</w:t>
      </w:r>
    </w:p>
    <w:p>
      <w:pPr>
        <w:pStyle w:val="Normal"/>
        <w:spacing w:lineRule="auto" w:line="240" w:before="0" w:after="0"/>
        <w:ind w:left="1440" w:hanging="0"/>
        <w:rPr/>
      </w:pPr>
      <w:r>
        <w:rPr/>
        <w:t>b. Micah 5:2, which named the birthplace of the Messiah more than 700 years before the event (cf. Matthew 2:4-6)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3. Contrast the beliefs of the movement called Open Theism.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4. just three of the practical reasons why it is such god news for Christians that God has exhaustive knowledge of the future</w:t>
      </w:r>
    </w:p>
    <w:p>
      <w:pPr>
        <w:pStyle w:val="Normal"/>
        <w:spacing w:lineRule="auto" w:line="240" w:before="0" w:after="0"/>
        <w:ind w:left="1440" w:hanging="0"/>
        <w:rPr/>
      </w:pPr>
      <w:r>
        <w:rPr/>
        <w:t>a.</w:t>
      </w:r>
    </w:p>
    <w:p>
      <w:pPr>
        <w:pStyle w:val="Normal"/>
        <w:spacing w:lineRule="auto" w:line="240" w:before="0" w:after="0"/>
        <w:ind w:left="1440" w:hanging="0"/>
        <w:rPr/>
      </w:pPr>
      <w:r>
        <w:rPr/>
      </w:r>
    </w:p>
    <w:p>
      <w:pPr>
        <w:pStyle w:val="Normal"/>
        <w:spacing w:lineRule="auto" w:line="240" w:before="0" w:after="0"/>
        <w:ind w:left="1440" w:hanging="0"/>
        <w:rPr/>
      </w:pPr>
      <w:r>
        <w:rPr/>
        <w:t>b.</w:t>
      </w:r>
    </w:p>
    <w:p>
      <w:pPr>
        <w:pStyle w:val="Normal"/>
        <w:spacing w:lineRule="auto" w:line="240" w:before="0" w:after="0"/>
        <w:ind w:left="144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 xml:space="preserve">c.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E. God knows the possible which we call his “middle knowledge.”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 Examples in 1 Samuel 23:6-13; Matthew 11:20-24; etc.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F. What do we mean by the phrase “a single act of knowing?” (Wayne Grudem, </w:t>
      </w:r>
      <w:r>
        <w:rPr>
          <w:i/>
        </w:rPr>
        <w:t xml:space="preserve">Systematic Theology, </w:t>
      </w:r>
      <w:r>
        <w:rPr/>
        <w:t>p. 191)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G. Just two more of the practical implications of God’s omniscience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720" w:hanging="0"/>
        <w:rPr/>
      </w:pPr>
      <w:r>
        <w:rPr/>
        <w:t>1.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720" w:hanging="0"/>
        <w:rPr/>
      </w:pPr>
      <w:r>
        <w:rPr/>
        <w:t xml:space="preserve">2.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8a7956"/>
    <w:rPr>
      <w:rFonts w:ascii="Book Antiqua" w:hAnsi="Book Antiqua" w:eastAsia="Times New Roman" w:cs="Times New Roman"/>
      <w:b/>
      <w:bCs/>
      <w:i/>
      <w:iCs/>
      <w:sz w:val="56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8a7956"/>
    <w:pPr>
      <w:spacing w:lineRule="auto" w:line="240" w:before="0" w:after="0"/>
      <w:jc w:val="center"/>
    </w:pPr>
    <w:rPr>
      <w:rFonts w:ascii="Book Antiqua" w:hAnsi="Book Antiqua" w:eastAsia="Times New Roman" w:cs="Times New Roman"/>
      <w:b/>
      <w:bCs/>
      <w:i/>
      <w:iCs/>
      <w:sz w:val="56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LibreOffice/5.0.3.2$Linux_X86_64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2018-12-08T02:45:00Z</dcterms:created>
  <dc:creator>Stephen Farish</dc:creator>
  <dc:language>en-US</dc:language>
  <cp:lastModifiedBy>Stephen Farish</cp:lastModifiedBy>
  <dcterms:modified xsi:type="dcterms:W3CDTF">2018-12-08T16:25:00Z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